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0"/>
        <w:gridCol w:w="2860"/>
      </w:tblGrid>
      <w:tr w:rsidR="00B75213" w14:paraId="39C0A127" w14:textId="77777777">
        <w:tc>
          <w:tcPr>
            <w:tcW w:w="6500" w:type="dxa"/>
            <w:tcBorders>
              <w:top w:val="none" w:sz="0" w:space="0" w:color="FFFFFF"/>
              <w:left w:val="none" w:sz="0" w:space="0" w:color="FFFFFF"/>
              <w:bottom w:val="none" w:sz="0" w:space="0" w:color="FFFFFF"/>
              <w:right w:val="none" w:sz="0" w:space="0" w:color="FFFFFF"/>
            </w:tcBorders>
            <w:shd w:val="clear" w:color="auto" w:fill="0D1B2A"/>
            <w:tcMar>
              <w:top w:w="140" w:type="dxa"/>
              <w:left w:w="200" w:type="dxa"/>
              <w:bottom w:w="140" w:type="dxa"/>
              <w:right w:w="200" w:type="dxa"/>
            </w:tcMar>
            <w:vAlign w:val="center"/>
          </w:tcPr>
          <w:p w14:paraId="452174B3" w14:textId="77777777" w:rsidR="00B75213" w:rsidRDefault="00000000">
            <w:r>
              <w:rPr>
                <w:b/>
                <w:bCs/>
                <w:color w:val="FFFFFF"/>
                <w:sz w:val="28"/>
                <w:szCs w:val="28"/>
              </w:rPr>
              <w:t>WOODY FOR WALLA WALLA</w:t>
            </w:r>
          </w:p>
          <w:p w14:paraId="2F86D151" w14:textId="77777777" w:rsidR="00B75213" w:rsidRDefault="00000000">
            <w:r>
              <w:rPr>
                <w:color w:val="C8952A"/>
                <w:sz w:val="18"/>
                <w:szCs w:val="18"/>
              </w:rPr>
              <w:t>Less Government. More Freedom. Real Results.</w:t>
            </w:r>
          </w:p>
        </w:tc>
        <w:tc>
          <w:tcPr>
            <w:tcW w:w="2860" w:type="dxa"/>
            <w:tcBorders>
              <w:top w:val="none" w:sz="0" w:space="0" w:color="FFFFFF"/>
              <w:left w:val="none" w:sz="0" w:space="0" w:color="FFFFFF"/>
              <w:bottom w:val="none" w:sz="0" w:space="0" w:color="FFFFFF"/>
              <w:right w:val="none" w:sz="0" w:space="0" w:color="FFFFFF"/>
            </w:tcBorders>
            <w:shd w:val="clear" w:color="auto" w:fill="8B1A1A"/>
            <w:tcMar>
              <w:top w:w="140" w:type="dxa"/>
              <w:left w:w="160" w:type="dxa"/>
              <w:bottom w:w="140" w:type="dxa"/>
              <w:right w:w="160" w:type="dxa"/>
            </w:tcMar>
            <w:vAlign w:val="center"/>
          </w:tcPr>
          <w:p w14:paraId="6218E58B" w14:textId="77777777" w:rsidR="00B75213" w:rsidRDefault="00000000">
            <w:pPr>
              <w:jc w:val="center"/>
            </w:pPr>
            <w:r>
              <w:rPr>
                <w:b/>
                <w:bCs/>
                <w:color w:val="FFFFFF"/>
              </w:rPr>
              <w:t>County Commissioner</w:t>
            </w:r>
          </w:p>
          <w:p w14:paraId="702AEC85" w14:textId="77777777" w:rsidR="00B75213" w:rsidRDefault="00000000">
            <w:pPr>
              <w:jc w:val="center"/>
            </w:pPr>
            <w:r>
              <w:rPr>
                <w:color w:val="FFFFFF"/>
                <w:sz w:val="16"/>
                <w:szCs w:val="16"/>
              </w:rPr>
              <w:t xml:space="preserve">District </w:t>
            </w:r>
            <w:proofErr w:type="gramStart"/>
            <w:r>
              <w:rPr>
                <w:color w:val="FFFFFF"/>
                <w:sz w:val="16"/>
                <w:szCs w:val="16"/>
              </w:rPr>
              <w:t>3  —</w:t>
            </w:r>
            <w:proofErr w:type="gramEnd"/>
            <w:r>
              <w:rPr>
                <w:color w:val="FFFFFF"/>
                <w:sz w:val="16"/>
                <w:szCs w:val="16"/>
              </w:rPr>
              <w:t xml:space="preserve">  Primary: August 4, 2026</w:t>
            </w:r>
          </w:p>
        </w:tc>
      </w:tr>
    </w:tbl>
    <w:p w14:paraId="2DF3324E" w14:textId="77777777" w:rsidR="00B75213" w:rsidRDefault="00B75213">
      <w:pPr>
        <w:spacing w:after="100"/>
      </w:pPr>
    </w:p>
    <w:p w14:paraId="65DDABB5" w14:textId="77777777" w:rsidR="00B75213" w:rsidRDefault="00000000">
      <w:pPr>
        <w:spacing w:before="80" w:after="40"/>
        <w:jc w:val="center"/>
      </w:pPr>
      <w:r>
        <w:rPr>
          <w:b/>
          <w:bCs/>
          <w:color w:val="0D1B2A"/>
          <w:sz w:val="44"/>
          <w:szCs w:val="44"/>
        </w:rPr>
        <w:t>The Amazon Data Center at Wallula Gap</w:t>
      </w:r>
    </w:p>
    <w:p w14:paraId="041122A3" w14:textId="77777777" w:rsidR="00B75213" w:rsidRDefault="00000000">
      <w:pPr>
        <w:spacing w:after="200"/>
        <w:jc w:val="center"/>
      </w:pPr>
      <w:r>
        <w:rPr>
          <w:color w:val="8B1A1A"/>
          <w:sz w:val="24"/>
          <w:szCs w:val="24"/>
        </w:rPr>
        <w:t>Straight answers on Water, Power, and Why Amazon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75213" w14:paraId="64F371BD" w14:textId="77777777">
        <w:tc>
          <w:tcPr>
            <w:tcW w:w="9360" w:type="dxa"/>
            <w:tcBorders>
              <w:top w:val="none" w:sz="0" w:space="0" w:color="FFFFFF"/>
              <w:left w:val="none" w:sz="0" w:space="0" w:color="FFFFFF"/>
              <w:bottom w:val="none" w:sz="0" w:space="0" w:color="FFFFFF"/>
              <w:right w:val="none" w:sz="0" w:space="0" w:color="FFFFFF"/>
            </w:tcBorders>
            <w:shd w:val="clear" w:color="auto" w:fill="0D1B2A"/>
            <w:tcMar>
              <w:top w:w="160" w:type="dxa"/>
              <w:left w:w="200" w:type="dxa"/>
              <w:bottom w:w="160" w:type="dxa"/>
              <w:right w:w="200" w:type="dxa"/>
            </w:tcMar>
          </w:tcPr>
          <w:p w14:paraId="30AC8191" w14:textId="18F85CA9" w:rsidR="00B75213" w:rsidRDefault="00000000" w:rsidP="00960032">
            <w:r>
              <w:rPr>
                <w:b/>
                <w:bCs/>
                <w:color w:val="FFFFFF"/>
                <w:sz w:val="32"/>
                <w:szCs w:val="32"/>
              </w:rPr>
              <w:t>1.  WATER</w:t>
            </w:r>
          </w:p>
        </w:tc>
      </w:tr>
    </w:tbl>
    <w:p w14:paraId="6A5F463C" w14:textId="77777777" w:rsidR="00B75213" w:rsidRDefault="00B75213">
      <w:pPr>
        <w:spacing w:after="80"/>
      </w:pPr>
    </w:p>
    <w:p w14:paraId="64165F2F" w14:textId="77777777" w:rsidR="00B75213" w:rsidRDefault="00000000">
      <w:pPr>
        <w:pBdr>
          <w:bottom w:val="single" w:sz="6" w:space="1" w:color="C8952A"/>
        </w:pBdr>
        <w:spacing w:before="260" w:after="80"/>
      </w:pPr>
      <w:r>
        <w:rPr>
          <w:b/>
          <w:bCs/>
          <w:color w:val="0D1B2A"/>
          <w:sz w:val="22"/>
          <w:szCs w:val="22"/>
        </w:rPr>
        <w:t>HOW MUCH WATER WILL THIS FACILITY USE?</w:t>
      </w:r>
    </w:p>
    <w:p w14:paraId="494E83C9" w14:textId="77777777" w:rsidR="00B75213" w:rsidRDefault="00000000">
      <w:pPr>
        <w:spacing w:before="60" w:after="60"/>
      </w:pPr>
      <w:r>
        <w:rPr>
          <w:color w:val="222222"/>
        </w:rPr>
        <w:t>The 554-acre Amazon site currently grows feed corn under irrigation. That land requires approximately 406 million gallons of water per year (WSU Extension data).</w:t>
      </w:r>
    </w:p>
    <w:p w14:paraId="64229D92" w14:textId="77777777" w:rsidR="00B75213" w:rsidRDefault="00B7521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75213" w14:paraId="57A5676D" w14:textId="77777777">
        <w:tc>
          <w:tcPr>
            <w:tcW w:w="9360" w:type="dxa"/>
            <w:tcBorders>
              <w:top w:val="single" w:sz="12" w:space="0" w:color="C8952A"/>
              <w:left w:val="single" w:sz="4" w:space="0" w:color="C8952A"/>
              <w:bottom w:val="single" w:sz="4" w:space="0" w:color="C8952A"/>
              <w:right w:val="single" w:sz="4" w:space="0" w:color="C8952A"/>
            </w:tcBorders>
            <w:shd w:val="clear" w:color="auto" w:fill="F5F0E8"/>
            <w:tcMar>
              <w:top w:w="140" w:type="dxa"/>
              <w:left w:w="200" w:type="dxa"/>
              <w:bottom w:w="140" w:type="dxa"/>
              <w:right w:w="200" w:type="dxa"/>
            </w:tcMar>
          </w:tcPr>
          <w:p w14:paraId="1F03C4EE" w14:textId="77777777" w:rsidR="00B75213" w:rsidRDefault="00000000">
            <w:r>
              <w:rPr>
                <w:b/>
                <w:bCs/>
                <w:color w:val="0D1B2A"/>
              </w:rPr>
              <w:t>The data center is expected to use less than one-third of that.</w:t>
            </w:r>
          </w:p>
          <w:p w14:paraId="6EA69E99" w14:textId="77777777" w:rsidR="00B75213" w:rsidRDefault="00000000">
            <w:pPr>
              <w:spacing w:before="50"/>
            </w:pPr>
            <w:r>
              <w:rPr>
                <w:color w:val="444444"/>
              </w:rPr>
              <w:t>Port Executive Director Reay confirmed this publicly:</w:t>
            </w:r>
          </w:p>
          <w:p w14:paraId="091F4002" w14:textId="77777777" w:rsidR="00B75213" w:rsidRDefault="00000000">
            <w:pPr>
              <w:spacing w:before="50"/>
            </w:pPr>
            <w:r>
              <w:rPr>
                <w:b/>
                <w:bCs/>
                <w:color w:val="8B1A1A"/>
              </w:rPr>
              <w:t>"At 500 acres, they are less than the current agricultural water consumption that we use on our farm."</w:t>
            </w:r>
          </w:p>
          <w:p w14:paraId="0EE739E9" w14:textId="77777777" w:rsidR="00B75213" w:rsidRDefault="00000000">
            <w:pPr>
              <w:spacing w:before="50"/>
            </w:pPr>
            <w:r>
              <w:rPr>
                <w:color w:val="555555"/>
              </w:rPr>
              <w:t>— Walla Walla Union-Bulletin, Feb. 13, 2026</w:t>
            </w:r>
          </w:p>
        </w:tc>
      </w:tr>
    </w:tbl>
    <w:p w14:paraId="7F7D9AE2" w14:textId="77777777" w:rsidR="00B75213" w:rsidRDefault="00B75213">
      <w:pPr>
        <w:spacing w:after="80"/>
      </w:pPr>
    </w:p>
    <w:p w14:paraId="10ABCB96" w14:textId="77777777" w:rsidR="00B75213" w:rsidRDefault="00000000">
      <w:pPr>
        <w:pBdr>
          <w:bottom w:val="single" w:sz="6" w:space="1" w:color="C8952A"/>
        </w:pBdr>
        <w:spacing w:before="260" w:after="80"/>
      </w:pPr>
      <w:r>
        <w:rPr>
          <w:b/>
          <w:bCs/>
          <w:color w:val="0D1B2A"/>
          <w:sz w:val="22"/>
          <w:szCs w:val="22"/>
        </w:rPr>
        <w:t>WHY IS WATER USE SO MUCH LOWER THAN EXPECTED?</w:t>
      </w:r>
    </w:p>
    <w:p w14:paraId="29ADFA28" w14:textId="77777777" w:rsidR="00B75213" w:rsidRDefault="00000000">
      <w:pPr>
        <w:spacing w:before="60" w:after="60"/>
      </w:pPr>
      <w:r>
        <w:rPr>
          <w:color w:val="222222"/>
        </w:rPr>
        <w:t xml:space="preserve">Because this is a cloud computing facility, </w:t>
      </w:r>
      <w:r w:rsidRPr="00080BC1">
        <w:rPr>
          <w:color w:val="222222"/>
          <w:u w:val="single"/>
        </w:rPr>
        <w:t xml:space="preserve">not an AI training center. </w:t>
      </w:r>
      <w:r>
        <w:rPr>
          <w:color w:val="222222"/>
        </w:rPr>
        <w:t>Cloud servers run cooler and use air-cooling as the primary method — supplemental water is only needed during peak summer heat. In contrast, AI training facilities run GPU clusters that require continuous liquid cooling at 4–8x higher power density.</w:t>
      </w:r>
    </w:p>
    <w:p w14:paraId="1262A102" w14:textId="77777777" w:rsidR="00B75213" w:rsidRDefault="00B7521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280"/>
        <w:gridCol w:w="3280"/>
      </w:tblGrid>
      <w:tr w:rsidR="00B75213" w14:paraId="7C447621" w14:textId="77777777">
        <w:tc>
          <w:tcPr>
            <w:tcW w:w="2800" w:type="dxa"/>
            <w:tcBorders>
              <w:top w:val="none" w:sz="0" w:space="0" w:color="FFFFFF"/>
              <w:left w:val="none" w:sz="0" w:space="0" w:color="FFFFFF"/>
              <w:bottom w:val="none" w:sz="0" w:space="0" w:color="FFFFFF"/>
              <w:right w:val="none" w:sz="0" w:space="0" w:color="FFFFFF"/>
            </w:tcBorders>
            <w:shd w:val="clear" w:color="auto" w:fill="0D1B2A"/>
            <w:tcMar>
              <w:top w:w="80" w:type="dxa"/>
              <w:left w:w="120" w:type="dxa"/>
              <w:bottom w:w="80" w:type="dxa"/>
              <w:right w:w="120" w:type="dxa"/>
            </w:tcMar>
          </w:tcPr>
          <w:p w14:paraId="6CC78059" w14:textId="77777777" w:rsidR="00B75213" w:rsidRDefault="00B75213"/>
        </w:tc>
        <w:tc>
          <w:tcPr>
            <w:tcW w:w="3280" w:type="dxa"/>
            <w:tcBorders>
              <w:top w:val="none" w:sz="0" w:space="0" w:color="FFFFFF"/>
              <w:left w:val="none" w:sz="0" w:space="0" w:color="FFFFFF"/>
              <w:bottom w:val="none" w:sz="0" w:space="0" w:color="FFFFFF"/>
              <w:right w:val="none" w:sz="0" w:space="0" w:color="FFFFFF"/>
            </w:tcBorders>
            <w:shd w:val="clear" w:color="auto" w:fill="0D1B2A"/>
            <w:tcMar>
              <w:top w:w="80" w:type="dxa"/>
              <w:left w:w="120" w:type="dxa"/>
              <w:bottom w:w="80" w:type="dxa"/>
              <w:right w:w="120" w:type="dxa"/>
            </w:tcMar>
          </w:tcPr>
          <w:p w14:paraId="3C93C022" w14:textId="77777777" w:rsidR="00B75213" w:rsidRDefault="00000000">
            <w:pPr>
              <w:jc w:val="center"/>
            </w:pPr>
            <w:r>
              <w:rPr>
                <w:b/>
                <w:bCs/>
                <w:color w:val="FFFFFF"/>
              </w:rPr>
              <w:t>Cloud — Wallula Gap</w:t>
            </w:r>
          </w:p>
        </w:tc>
        <w:tc>
          <w:tcPr>
            <w:tcW w:w="3280" w:type="dxa"/>
            <w:tcBorders>
              <w:top w:val="none" w:sz="0" w:space="0" w:color="FFFFFF"/>
              <w:left w:val="none" w:sz="0" w:space="0" w:color="FFFFFF"/>
              <w:bottom w:val="none" w:sz="0" w:space="0" w:color="FFFFFF"/>
              <w:right w:val="none" w:sz="0" w:space="0" w:color="FFFFFF"/>
            </w:tcBorders>
            <w:shd w:val="clear" w:color="auto" w:fill="555555"/>
            <w:tcMar>
              <w:top w:w="80" w:type="dxa"/>
              <w:left w:w="120" w:type="dxa"/>
              <w:bottom w:w="80" w:type="dxa"/>
              <w:right w:w="120" w:type="dxa"/>
            </w:tcMar>
          </w:tcPr>
          <w:p w14:paraId="0B3E9E1D" w14:textId="77777777" w:rsidR="00B75213" w:rsidRDefault="00000000">
            <w:pPr>
              <w:jc w:val="center"/>
            </w:pPr>
            <w:r>
              <w:rPr>
                <w:b/>
                <w:bCs/>
                <w:color w:val="CCCCCC"/>
              </w:rPr>
              <w:t>AI Training (NOT this)</w:t>
            </w:r>
          </w:p>
        </w:tc>
      </w:tr>
      <w:tr w:rsidR="00B75213" w14:paraId="02C94756"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974C7A6" w14:textId="77777777" w:rsidR="00B75213" w:rsidRDefault="00000000">
            <w:r>
              <w:rPr>
                <w:b/>
                <w:bCs/>
                <w:color w:val="222222"/>
              </w:rPr>
              <w:t>Cooling method</w:t>
            </w:r>
          </w:p>
        </w:tc>
        <w:tc>
          <w:tcPr>
            <w:tcW w:w="3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1C084B" w14:textId="77777777" w:rsidR="00B75213" w:rsidRDefault="00000000">
            <w:pPr>
              <w:jc w:val="center"/>
            </w:pPr>
            <w:r>
              <w:rPr>
                <w:b/>
                <w:bCs/>
                <w:color w:val="0D1B2A"/>
              </w:rPr>
              <w:t>Air-cooled</w:t>
            </w:r>
          </w:p>
        </w:tc>
        <w:tc>
          <w:tcPr>
            <w:tcW w:w="3280" w:type="dxa"/>
            <w:tcBorders>
              <w:top w:val="single" w:sz="1" w:space="0" w:color="CCCCCC"/>
              <w:left w:val="single" w:sz="1" w:space="0" w:color="CCCCCC"/>
              <w:bottom w:val="single" w:sz="1" w:space="0" w:color="CCCCCC"/>
              <w:right w:val="single" w:sz="1" w:space="0" w:color="CCCCCC"/>
            </w:tcBorders>
            <w:shd w:val="clear" w:color="auto" w:fill="F8F8F8"/>
            <w:tcMar>
              <w:top w:w="80" w:type="dxa"/>
              <w:left w:w="120" w:type="dxa"/>
              <w:bottom w:w="80" w:type="dxa"/>
              <w:right w:w="120" w:type="dxa"/>
            </w:tcMar>
          </w:tcPr>
          <w:p w14:paraId="0E76E8AF" w14:textId="77777777" w:rsidR="00B75213" w:rsidRDefault="00000000">
            <w:pPr>
              <w:jc w:val="center"/>
            </w:pPr>
            <w:r>
              <w:rPr>
                <w:color w:val="777777"/>
              </w:rPr>
              <w:t>Liquid cooling</w:t>
            </w:r>
          </w:p>
        </w:tc>
      </w:tr>
      <w:tr w:rsidR="00B75213" w14:paraId="0FD097A6"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EC265D6" w14:textId="77777777" w:rsidR="00B75213" w:rsidRDefault="00000000">
            <w:r>
              <w:rPr>
                <w:b/>
                <w:bCs/>
                <w:color w:val="222222"/>
              </w:rPr>
              <w:t>Power per rack</w:t>
            </w:r>
          </w:p>
        </w:tc>
        <w:tc>
          <w:tcPr>
            <w:tcW w:w="3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C9BA69" w14:textId="77777777" w:rsidR="00B75213" w:rsidRDefault="00000000">
            <w:pPr>
              <w:jc w:val="center"/>
            </w:pPr>
            <w:r>
              <w:rPr>
                <w:b/>
                <w:bCs/>
                <w:color w:val="0D1B2A"/>
              </w:rPr>
              <w:t>10–30 kW</w:t>
            </w:r>
          </w:p>
        </w:tc>
        <w:tc>
          <w:tcPr>
            <w:tcW w:w="3280" w:type="dxa"/>
            <w:tcBorders>
              <w:top w:val="single" w:sz="1" w:space="0" w:color="CCCCCC"/>
              <w:left w:val="single" w:sz="1" w:space="0" w:color="CCCCCC"/>
              <w:bottom w:val="single" w:sz="1" w:space="0" w:color="CCCCCC"/>
              <w:right w:val="single" w:sz="1" w:space="0" w:color="CCCCCC"/>
            </w:tcBorders>
            <w:shd w:val="clear" w:color="auto" w:fill="F8F8F8"/>
            <w:tcMar>
              <w:top w:w="80" w:type="dxa"/>
              <w:left w:w="120" w:type="dxa"/>
              <w:bottom w:w="80" w:type="dxa"/>
              <w:right w:w="120" w:type="dxa"/>
            </w:tcMar>
          </w:tcPr>
          <w:p w14:paraId="1000F556" w14:textId="77777777" w:rsidR="00B75213" w:rsidRDefault="00000000">
            <w:pPr>
              <w:jc w:val="center"/>
            </w:pPr>
            <w:r>
              <w:rPr>
                <w:color w:val="777777"/>
              </w:rPr>
              <w:t>60–120 kW</w:t>
            </w:r>
          </w:p>
        </w:tc>
      </w:tr>
      <w:tr w:rsidR="00B75213" w14:paraId="778E8ACB"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05676A6" w14:textId="77777777" w:rsidR="00B75213" w:rsidRDefault="00000000">
            <w:r>
              <w:rPr>
                <w:b/>
                <w:bCs/>
                <w:color w:val="222222"/>
              </w:rPr>
              <w:t>Water use</w:t>
            </w:r>
          </w:p>
        </w:tc>
        <w:tc>
          <w:tcPr>
            <w:tcW w:w="3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1292C0" w14:textId="77777777" w:rsidR="00B75213" w:rsidRDefault="00000000">
            <w:pPr>
              <w:jc w:val="center"/>
            </w:pPr>
            <w:r>
              <w:rPr>
                <w:b/>
                <w:bCs/>
                <w:color w:val="0D1B2A"/>
              </w:rPr>
              <w:t>Seasonal &amp; limited</w:t>
            </w:r>
          </w:p>
        </w:tc>
        <w:tc>
          <w:tcPr>
            <w:tcW w:w="3280" w:type="dxa"/>
            <w:tcBorders>
              <w:top w:val="single" w:sz="1" w:space="0" w:color="CCCCCC"/>
              <w:left w:val="single" w:sz="1" w:space="0" w:color="CCCCCC"/>
              <w:bottom w:val="single" w:sz="1" w:space="0" w:color="CCCCCC"/>
              <w:right w:val="single" w:sz="1" w:space="0" w:color="CCCCCC"/>
            </w:tcBorders>
            <w:shd w:val="clear" w:color="auto" w:fill="F8F8F8"/>
            <w:tcMar>
              <w:top w:w="80" w:type="dxa"/>
              <w:left w:w="120" w:type="dxa"/>
              <w:bottom w:w="80" w:type="dxa"/>
              <w:right w:w="120" w:type="dxa"/>
            </w:tcMar>
          </w:tcPr>
          <w:p w14:paraId="03949E6E" w14:textId="77777777" w:rsidR="00B75213" w:rsidRDefault="00000000">
            <w:pPr>
              <w:jc w:val="center"/>
            </w:pPr>
            <w:r>
              <w:rPr>
                <w:color w:val="777777"/>
              </w:rPr>
              <w:t>Continuous &amp; intensive</w:t>
            </w:r>
          </w:p>
        </w:tc>
      </w:tr>
    </w:tbl>
    <w:p w14:paraId="326F8DBA" w14:textId="77777777" w:rsidR="00B75213" w:rsidRDefault="00B75213">
      <w:pPr>
        <w:spacing w:after="80"/>
      </w:pPr>
    </w:p>
    <w:p w14:paraId="7C9CD555" w14:textId="77777777" w:rsidR="00B75213" w:rsidRDefault="00000000">
      <w:pPr>
        <w:pBdr>
          <w:bottom w:val="single" w:sz="6" w:space="1" w:color="C8952A"/>
        </w:pBdr>
        <w:spacing w:before="260" w:after="80"/>
      </w:pPr>
      <w:r>
        <w:rPr>
          <w:b/>
          <w:bCs/>
          <w:color w:val="0D1B2A"/>
          <w:sz w:val="22"/>
          <w:szCs w:val="22"/>
        </w:rPr>
        <w:t>WHAT ABOUT THE MORROW COUNTY SETTLEMENT?</w:t>
      </w:r>
    </w:p>
    <w:p w14:paraId="27B129FF" w14:textId="31148F58" w:rsidR="00B75213" w:rsidRDefault="00000000">
      <w:pPr>
        <w:spacing w:before="60" w:after="60"/>
      </w:pPr>
      <w:r>
        <w:rPr>
          <w:color w:val="222222"/>
        </w:rPr>
        <w:t xml:space="preserve">Opponents point to a $20.5M Morrow County, OR settlement in March 2026 as evidence </w:t>
      </w:r>
      <w:r w:rsidR="00960032">
        <w:rPr>
          <w:color w:val="222222"/>
        </w:rPr>
        <w:t xml:space="preserve">that </w:t>
      </w:r>
      <w:r>
        <w:rPr>
          <w:color w:val="222222"/>
        </w:rPr>
        <w:t xml:space="preserve">Amazon contaminates water. Here is what that case </w:t>
      </w:r>
      <w:proofErr w:type="gramStart"/>
      <w:r>
        <w:rPr>
          <w:color w:val="222222"/>
        </w:rPr>
        <w:t>actually involved</w:t>
      </w:r>
      <w:proofErr w:type="gramEnd"/>
      <w:r>
        <w:rPr>
          <w:color w:val="222222"/>
        </w:rPr>
        <w:t>:</w:t>
      </w:r>
    </w:p>
    <w:p w14:paraId="52A4E8E3" w14:textId="77777777" w:rsidR="00B75213" w:rsidRDefault="00000000">
      <w:pPr>
        <w:pStyle w:val="ListParagraph"/>
        <w:numPr>
          <w:ilvl w:val="0"/>
          <w:numId w:val="2"/>
        </w:numPr>
        <w:spacing w:before="50" w:after="50"/>
      </w:pPr>
      <w:r>
        <w:rPr>
          <w:color w:val="222222"/>
        </w:rPr>
        <w:t>The contamination was agricultural nitrates in Eastern Oregon groundwater — documented since 1991, a decade before Amazon operated in the region</w:t>
      </w:r>
    </w:p>
    <w:p w14:paraId="1B8730B9" w14:textId="51AB3EAB" w:rsidR="00B75213" w:rsidRDefault="00000000">
      <w:pPr>
        <w:pStyle w:val="ListParagraph"/>
        <w:numPr>
          <w:ilvl w:val="0"/>
          <w:numId w:val="2"/>
        </w:numPr>
        <w:spacing w:before="50" w:after="50"/>
      </w:pPr>
      <w:r>
        <w:rPr>
          <w:color w:val="222222"/>
        </w:rPr>
        <w:t>Amazon's data center cooling water does not add chemicals to groundwater</w:t>
      </w:r>
      <w:r w:rsidR="00960032">
        <w:rPr>
          <w:color w:val="222222"/>
        </w:rPr>
        <w:t>. This should be common sense: nitrates take years to create issues</w:t>
      </w:r>
    </w:p>
    <w:p w14:paraId="2C64DE08" w14:textId="77777777" w:rsidR="00B75213" w:rsidRDefault="00000000">
      <w:pPr>
        <w:pStyle w:val="ListParagraph"/>
        <w:numPr>
          <w:ilvl w:val="0"/>
          <w:numId w:val="2"/>
        </w:numPr>
        <w:spacing w:before="50" w:after="50"/>
      </w:pPr>
      <w:r>
        <w:rPr>
          <w:color w:val="222222"/>
        </w:rPr>
        <w:t>The settlement fund is legally restricted to water quality infrastructure improvements — it has no bearing on the Wallula Gap project</w:t>
      </w:r>
    </w:p>
    <w:p w14:paraId="34A6B4EB" w14:textId="77777777" w:rsidR="00B75213" w:rsidRDefault="00B75213">
      <w:pPr>
        <w:pBdr>
          <w:bottom w:val="single" w:sz="2" w:space="1" w:color="CCCCCC"/>
        </w:pBd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75213" w14:paraId="4026075C" w14:textId="77777777">
        <w:tc>
          <w:tcPr>
            <w:tcW w:w="9360" w:type="dxa"/>
            <w:tcBorders>
              <w:top w:val="none" w:sz="0" w:space="0" w:color="FFFFFF"/>
              <w:left w:val="none" w:sz="0" w:space="0" w:color="FFFFFF"/>
              <w:bottom w:val="none" w:sz="0" w:space="0" w:color="FFFFFF"/>
              <w:right w:val="none" w:sz="0" w:space="0" w:color="FFFFFF"/>
            </w:tcBorders>
            <w:shd w:val="clear" w:color="auto" w:fill="0D1B2A"/>
            <w:tcMar>
              <w:top w:w="160" w:type="dxa"/>
              <w:left w:w="200" w:type="dxa"/>
              <w:bottom w:w="160" w:type="dxa"/>
              <w:right w:w="200" w:type="dxa"/>
            </w:tcMar>
          </w:tcPr>
          <w:p w14:paraId="7A77774E" w14:textId="77777777" w:rsidR="00B75213" w:rsidRDefault="00000000">
            <w:r>
              <w:rPr>
                <w:b/>
                <w:bCs/>
                <w:color w:val="FFFFFF"/>
                <w:sz w:val="32"/>
                <w:szCs w:val="32"/>
              </w:rPr>
              <w:t>2</w:t>
            </w:r>
            <w:proofErr w:type="gramStart"/>
            <w:r>
              <w:rPr>
                <w:b/>
                <w:bCs/>
                <w:color w:val="FFFFFF"/>
                <w:sz w:val="32"/>
                <w:szCs w:val="32"/>
              </w:rPr>
              <w:t>.  POWER</w:t>
            </w:r>
            <w:proofErr w:type="gramEnd"/>
          </w:p>
          <w:p w14:paraId="5428E6AB" w14:textId="77777777" w:rsidR="00B75213" w:rsidRDefault="00000000">
            <w:pPr>
              <w:spacing w:before="40"/>
            </w:pPr>
            <w:r>
              <w:rPr>
                <w:color w:val="C8952A"/>
                <w:sz w:val="19"/>
                <w:szCs w:val="19"/>
              </w:rPr>
              <w:t xml:space="preserve">Grid impact, energy demand, and what AWS </w:t>
            </w:r>
            <w:proofErr w:type="gramStart"/>
            <w:r>
              <w:rPr>
                <w:color w:val="C8952A"/>
                <w:sz w:val="19"/>
                <w:szCs w:val="19"/>
              </w:rPr>
              <w:t>actually runs</w:t>
            </w:r>
            <w:proofErr w:type="gramEnd"/>
          </w:p>
        </w:tc>
      </w:tr>
    </w:tbl>
    <w:p w14:paraId="0DF53B14" w14:textId="77777777" w:rsidR="00B75213" w:rsidRDefault="00B75213">
      <w:pPr>
        <w:spacing w:after="80"/>
      </w:pPr>
    </w:p>
    <w:p w14:paraId="13E81BE6" w14:textId="77777777" w:rsidR="00B75213" w:rsidRDefault="00000000">
      <w:pPr>
        <w:pBdr>
          <w:bottom w:val="single" w:sz="6" w:space="1" w:color="C8952A"/>
        </w:pBdr>
        <w:spacing w:before="260" w:after="80"/>
      </w:pPr>
      <w:r>
        <w:rPr>
          <w:b/>
          <w:bCs/>
          <w:color w:val="0D1B2A"/>
          <w:sz w:val="22"/>
          <w:szCs w:val="22"/>
        </w:rPr>
        <w:t>WHAT DOES AWS ACTUALLY POWER?</w:t>
      </w:r>
    </w:p>
    <w:p w14:paraId="4A8311C8" w14:textId="77777777" w:rsidR="00B75213" w:rsidRDefault="00000000">
      <w:pPr>
        <w:spacing w:before="60" w:after="60"/>
      </w:pPr>
      <w:r>
        <w:rPr>
          <w:color w:val="222222"/>
        </w:rPr>
        <w:t xml:space="preserve">AWS runs approximately one-third of all global cloud infrastructure. The services it </w:t>
      </w:r>
      <w:proofErr w:type="gramStart"/>
      <w:r>
        <w:rPr>
          <w:color w:val="222222"/>
        </w:rPr>
        <w:t>supports</w:t>
      </w:r>
      <w:proofErr w:type="gramEnd"/>
      <w:r>
        <w:rPr>
          <w:color w:val="222222"/>
        </w:rPr>
        <w:t xml:space="preserve"> include:</w:t>
      </w:r>
    </w:p>
    <w:p w14:paraId="214E0D96" w14:textId="77777777" w:rsidR="00B75213" w:rsidRDefault="00000000">
      <w:pPr>
        <w:pStyle w:val="ListParagraph"/>
        <w:numPr>
          <w:ilvl w:val="0"/>
          <w:numId w:val="2"/>
        </w:numPr>
        <w:spacing w:before="50" w:after="50"/>
      </w:pPr>
      <w:r>
        <w:rPr>
          <w:color w:val="222222"/>
        </w:rPr>
        <w:t>Telehealth platforms rural Eastern Washington residents depend on for remote medical care</w:t>
      </w:r>
    </w:p>
    <w:p w14:paraId="4A6BE47F" w14:textId="77777777" w:rsidR="00B75213" w:rsidRDefault="00000000">
      <w:pPr>
        <w:pStyle w:val="ListParagraph"/>
        <w:numPr>
          <w:ilvl w:val="0"/>
          <w:numId w:val="2"/>
        </w:numPr>
        <w:spacing w:before="50" w:after="50"/>
      </w:pPr>
      <w:r>
        <w:rPr>
          <w:color w:val="222222"/>
        </w:rPr>
        <w:t>Online education systems used by schools and community colleges across the region</w:t>
      </w:r>
    </w:p>
    <w:p w14:paraId="2829AE09" w14:textId="77777777" w:rsidR="00B75213" w:rsidRDefault="00000000">
      <w:pPr>
        <w:pStyle w:val="ListParagraph"/>
        <w:numPr>
          <w:ilvl w:val="0"/>
          <w:numId w:val="2"/>
        </w:numPr>
        <w:spacing w:before="50" w:after="50"/>
      </w:pPr>
      <w:r>
        <w:rPr>
          <w:color w:val="222222"/>
        </w:rPr>
        <w:t>Precision agriculture tools and farm management platforms</w:t>
      </w:r>
    </w:p>
    <w:p w14:paraId="62065733" w14:textId="77777777" w:rsidR="00B75213" w:rsidRDefault="00000000">
      <w:pPr>
        <w:pStyle w:val="ListParagraph"/>
        <w:numPr>
          <w:ilvl w:val="0"/>
          <w:numId w:val="2"/>
        </w:numPr>
        <w:spacing w:before="50" w:after="50"/>
      </w:pPr>
      <w:r>
        <w:rPr>
          <w:color w:val="222222"/>
        </w:rPr>
        <w:t>State and local government digital services</w:t>
      </w:r>
    </w:p>
    <w:p w14:paraId="284C27C1" w14:textId="77777777" w:rsidR="00B75213" w:rsidRDefault="00B75213">
      <w:pPr>
        <w:spacing w:after="60"/>
      </w:pPr>
    </w:p>
    <w:p w14:paraId="0C9DE3FE" w14:textId="07405C90" w:rsidR="00B75213" w:rsidRDefault="00000000">
      <w:pPr>
        <w:spacing w:before="60" w:after="60"/>
      </w:pPr>
      <w:r>
        <w:rPr>
          <w:color w:val="222222"/>
        </w:rPr>
        <w:t>This is not luxury technology. It is infrastructure</w:t>
      </w:r>
      <w:r w:rsidR="00960032">
        <w:rPr>
          <w:color w:val="222222"/>
        </w:rPr>
        <w:t>,</w:t>
      </w:r>
      <w:r>
        <w:rPr>
          <w:color w:val="222222"/>
        </w:rPr>
        <w:t xml:space="preserve"> comparable in importance to roads and electrical grids.</w:t>
      </w:r>
    </w:p>
    <w:p w14:paraId="204048B0" w14:textId="77777777" w:rsidR="00B75213" w:rsidRDefault="00B75213">
      <w:pPr>
        <w:spacing w:after="80"/>
      </w:pPr>
    </w:p>
    <w:p w14:paraId="5D31515E" w14:textId="77777777" w:rsidR="00B75213" w:rsidRDefault="00000000">
      <w:pPr>
        <w:pBdr>
          <w:bottom w:val="single" w:sz="6" w:space="1" w:color="C8952A"/>
        </w:pBdr>
        <w:spacing w:before="260" w:after="80"/>
      </w:pPr>
      <w:r>
        <w:rPr>
          <w:b/>
          <w:bCs/>
          <w:color w:val="0D1B2A"/>
          <w:sz w:val="22"/>
          <w:szCs w:val="22"/>
        </w:rPr>
        <w:t>POWER DEMAND: CLOUD VS. AI TRAINING</w:t>
      </w:r>
    </w:p>
    <w:p w14:paraId="480B5D49" w14:textId="421936AC" w:rsidR="00B75213" w:rsidRDefault="00000000">
      <w:pPr>
        <w:spacing w:before="60" w:after="60"/>
      </w:pPr>
      <w:r>
        <w:rPr>
          <w:color w:val="222222"/>
        </w:rPr>
        <w:t>The power demand concern is real for AI training facilities. This is not one of those. Cloud CPU servers draw 10–30 kW per rack. AI GPU clusters draw 60–120 kW per rack</w:t>
      </w:r>
      <w:r w:rsidR="00960032">
        <w:rPr>
          <w:color w:val="222222"/>
        </w:rPr>
        <w:t>,</w:t>
      </w:r>
      <w:r>
        <w:rPr>
          <w:color w:val="222222"/>
        </w:rPr>
        <w:t xml:space="preserve"> 4 to 8 times higher. The distinction matters significantly for grid planning.</w:t>
      </w:r>
    </w:p>
    <w:p w14:paraId="7706A710" w14:textId="77777777" w:rsidR="00B75213" w:rsidRDefault="00B75213">
      <w:pPr>
        <w:spacing w:after="80"/>
      </w:pPr>
    </w:p>
    <w:p w14:paraId="55440014" w14:textId="77777777" w:rsidR="00B75213" w:rsidRDefault="00000000">
      <w:pPr>
        <w:pBdr>
          <w:bottom w:val="single" w:sz="6" w:space="1" w:color="C8952A"/>
        </w:pBdr>
        <w:spacing w:before="260" w:after="80"/>
      </w:pPr>
      <w:r>
        <w:rPr>
          <w:b/>
          <w:bCs/>
          <w:color w:val="0D1B2A"/>
          <w:sz w:val="22"/>
          <w:szCs w:val="22"/>
        </w:rPr>
        <w:t>GRID INFRASTRUCTURE</w:t>
      </w:r>
    </w:p>
    <w:p w14:paraId="2CC3F56E" w14:textId="25360270" w:rsidR="00B75213" w:rsidRDefault="00000000">
      <w:pPr>
        <w:spacing w:before="60" w:after="60"/>
      </w:pPr>
      <w:r>
        <w:rPr>
          <w:color w:val="222222"/>
        </w:rPr>
        <w:t>A project of this scale requires transmission and substation upgrades. Those infrastructure costs are borne by the project — not utility ratepayers. Regional grid improvements that result from this investment benefit all users in the area for decades.</w:t>
      </w:r>
      <w:r w:rsidR="00080BC1">
        <w:rPr>
          <w:color w:val="222222"/>
        </w:rPr>
        <w:t xml:space="preserve"> And easements have been secured for any future upgrades according to Columbia REA</w:t>
      </w:r>
    </w:p>
    <w:p w14:paraId="74AB4198" w14:textId="77777777" w:rsidR="00B75213" w:rsidRDefault="00B75213">
      <w:pPr>
        <w:spacing w:after="80"/>
      </w:pPr>
    </w:p>
    <w:p w14:paraId="5CC1C84E" w14:textId="174990B4" w:rsidR="00960032" w:rsidRDefault="00960032" w:rsidP="00960032">
      <w:pPr>
        <w:pBdr>
          <w:bottom w:val="single" w:sz="6" w:space="1" w:color="C8952A"/>
        </w:pBdr>
        <w:spacing w:before="260" w:after="80"/>
      </w:pPr>
      <w:r>
        <w:rPr>
          <w:b/>
          <w:bCs/>
          <w:color w:val="0D1B2A"/>
          <w:sz w:val="22"/>
          <w:szCs w:val="22"/>
        </w:rPr>
        <w:t>POWER RATES</w:t>
      </w:r>
    </w:p>
    <w:p w14:paraId="112E3BEB" w14:textId="2AB1BCE7" w:rsidR="00960032" w:rsidRDefault="00960032" w:rsidP="00960032">
      <w:pPr>
        <w:spacing w:before="60" w:after="60"/>
      </w:pPr>
      <w:r>
        <w:rPr>
          <w:color w:val="222222"/>
        </w:rPr>
        <w:t>Columbia REA has done an awesome job of rolling out their plan of how to mitigate the electrical rate impact in a nutshell by running effectively two companies, ours as existing and Amazons who gets power from the variable market, pays for all infrastructure and staffing, which will be substantial and more economically beneficial to our county.</w:t>
      </w:r>
    </w:p>
    <w:p w14:paraId="43A012C8" w14:textId="77777777" w:rsidR="00B75213" w:rsidRDefault="00B75213">
      <w:pPr>
        <w:pBdr>
          <w:bottom w:val="single" w:sz="2" w:space="1" w:color="CCCCCC"/>
        </w:pBd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75213" w14:paraId="7A063FF5" w14:textId="77777777">
        <w:tc>
          <w:tcPr>
            <w:tcW w:w="9360" w:type="dxa"/>
            <w:tcBorders>
              <w:top w:val="none" w:sz="0" w:space="0" w:color="FFFFFF"/>
              <w:left w:val="none" w:sz="0" w:space="0" w:color="FFFFFF"/>
              <w:bottom w:val="none" w:sz="0" w:space="0" w:color="FFFFFF"/>
              <w:right w:val="none" w:sz="0" w:space="0" w:color="FFFFFF"/>
            </w:tcBorders>
            <w:shd w:val="clear" w:color="auto" w:fill="0D1B2A"/>
            <w:tcMar>
              <w:top w:w="160" w:type="dxa"/>
              <w:left w:w="200" w:type="dxa"/>
              <w:bottom w:w="160" w:type="dxa"/>
              <w:right w:w="200" w:type="dxa"/>
            </w:tcMar>
          </w:tcPr>
          <w:p w14:paraId="6EFD5AEB" w14:textId="77777777" w:rsidR="00B75213" w:rsidRDefault="00000000">
            <w:r>
              <w:rPr>
                <w:b/>
                <w:bCs/>
                <w:color w:val="FFFFFF"/>
                <w:sz w:val="32"/>
                <w:szCs w:val="32"/>
              </w:rPr>
              <w:t>3</w:t>
            </w:r>
            <w:proofErr w:type="gramStart"/>
            <w:r>
              <w:rPr>
                <w:b/>
                <w:bCs/>
                <w:color w:val="FFFFFF"/>
                <w:sz w:val="32"/>
                <w:szCs w:val="32"/>
              </w:rPr>
              <w:t>.  WHY</w:t>
            </w:r>
            <w:proofErr w:type="gramEnd"/>
            <w:r>
              <w:rPr>
                <w:b/>
                <w:bCs/>
                <w:color w:val="FFFFFF"/>
                <w:sz w:val="32"/>
                <w:szCs w:val="32"/>
              </w:rPr>
              <w:t xml:space="preserve"> DO BUSINESS WITH AMAZON?</w:t>
            </w:r>
          </w:p>
          <w:p w14:paraId="0895E887" w14:textId="0C0BE86B" w:rsidR="00B75213" w:rsidRDefault="00000000">
            <w:pPr>
              <w:spacing w:before="40"/>
            </w:pPr>
            <w:r>
              <w:rPr>
                <w:color w:val="C8952A"/>
                <w:sz w:val="19"/>
                <w:szCs w:val="19"/>
              </w:rPr>
              <w:t>Why this company, why this deal, why now</w:t>
            </w:r>
            <w:r w:rsidR="00960032">
              <w:rPr>
                <w:color w:val="C8952A"/>
                <w:sz w:val="19"/>
                <w:szCs w:val="19"/>
              </w:rPr>
              <w:t xml:space="preserve"> (most of this information gleaned from one of the Port commissioners who had the opportunity to visit these sites and has prior historical knowledge of working with Amazon.</w:t>
            </w:r>
          </w:p>
        </w:tc>
      </w:tr>
    </w:tbl>
    <w:p w14:paraId="5CD08DB1" w14:textId="77777777" w:rsidR="00B75213" w:rsidRDefault="00B75213">
      <w:pPr>
        <w:spacing w:after="80"/>
      </w:pPr>
    </w:p>
    <w:p w14:paraId="47D8AA86" w14:textId="77777777" w:rsidR="00B75213" w:rsidRDefault="00000000">
      <w:pPr>
        <w:pBdr>
          <w:bottom w:val="single" w:sz="6" w:space="1" w:color="C8952A"/>
        </w:pBdr>
        <w:spacing w:before="260" w:after="80"/>
      </w:pPr>
      <w:r>
        <w:rPr>
          <w:b/>
          <w:bCs/>
          <w:color w:val="0D1B2A"/>
          <w:sz w:val="22"/>
          <w:szCs w:val="22"/>
        </w:rPr>
        <w:t>WHY AMAZON AND NOT ANOTHER COMPANY?</w:t>
      </w:r>
    </w:p>
    <w:p w14:paraId="5E12ADBF" w14:textId="77777777" w:rsidR="00B75213" w:rsidRDefault="00000000">
      <w:pPr>
        <w:spacing w:before="60" w:after="60"/>
      </w:pPr>
      <w:r>
        <w:rPr>
          <w:color w:val="222222"/>
        </w:rPr>
        <w:t>The Port reviewed more than 20 proposals before bringing Amazon to the Commission. Three criteria drove the selection:</w:t>
      </w:r>
    </w:p>
    <w:p w14:paraId="0DA054C7" w14:textId="77777777" w:rsidR="00B75213" w:rsidRDefault="00B7521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75213" w14:paraId="55AE7D0D" w14:textId="77777777">
        <w:tc>
          <w:tcPr>
            <w:tcW w:w="9360" w:type="dxa"/>
            <w:tcBorders>
              <w:top w:val="single" w:sz="12" w:space="0" w:color="C8952A"/>
              <w:left w:val="single" w:sz="4" w:space="0" w:color="C8952A"/>
              <w:bottom w:val="single" w:sz="4" w:space="0" w:color="C8952A"/>
              <w:right w:val="single" w:sz="4" w:space="0" w:color="C8952A"/>
            </w:tcBorders>
            <w:shd w:val="clear" w:color="auto" w:fill="F5F0E8"/>
            <w:tcMar>
              <w:top w:w="140" w:type="dxa"/>
              <w:left w:w="200" w:type="dxa"/>
              <w:bottom w:w="140" w:type="dxa"/>
              <w:right w:w="200" w:type="dxa"/>
            </w:tcMar>
          </w:tcPr>
          <w:p w14:paraId="5AE10858" w14:textId="77777777" w:rsidR="00B75213" w:rsidRDefault="00000000">
            <w:r>
              <w:rPr>
                <w:b/>
                <w:bCs/>
                <w:color w:val="0D1B2A"/>
              </w:rPr>
              <w:t>Financial Strength</w:t>
            </w:r>
          </w:p>
          <w:p w14:paraId="0609FEB3" w14:textId="77777777" w:rsidR="00B75213" w:rsidRDefault="00000000">
            <w:pPr>
              <w:spacing w:before="50"/>
            </w:pPr>
            <w:r>
              <w:rPr>
                <w:color w:val="222222"/>
              </w:rPr>
              <w:t>AWS is the world's dominant cloud provider. If the current data center wave consolidates or a bubble forms, Amazon does not walk away. Smaller operators would.</w:t>
            </w:r>
          </w:p>
          <w:p w14:paraId="487CCDA0" w14:textId="77777777" w:rsidR="00B75213" w:rsidRDefault="00B75213">
            <w:pPr>
              <w:spacing w:before="50"/>
            </w:pPr>
          </w:p>
          <w:p w14:paraId="76E96098" w14:textId="77777777" w:rsidR="00B75213" w:rsidRDefault="00000000">
            <w:pPr>
              <w:spacing w:before="50"/>
            </w:pPr>
            <w:r>
              <w:rPr>
                <w:b/>
                <w:bCs/>
                <w:color w:val="0D1B2A"/>
              </w:rPr>
              <w:t>Demonstrated Stewardship — Not Promises</w:t>
            </w:r>
          </w:p>
          <w:p w14:paraId="722B8F84" w14:textId="77777777" w:rsidR="00B75213" w:rsidRDefault="00000000">
            <w:pPr>
              <w:spacing w:before="50"/>
            </w:pPr>
            <w:r>
              <w:rPr>
                <w:color w:val="222222"/>
              </w:rPr>
              <w:t xml:space="preserve">Amazon's track record in Umatilla, Hermiston, and Port of Morrow is documented and </w:t>
            </w:r>
            <w:proofErr w:type="gramStart"/>
            <w:r>
              <w:rPr>
                <w:color w:val="222222"/>
              </w:rPr>
              <w:t>verifiable</w:t>
            </w:r>
            <w:proofErr w:type="gramEnd"/>
            <w:r>
              <w:rPr>
                <w:color w:val="222222"/>
              </w:rPr>
              <w:t>. The Umatilla pipeline and Hermiston groundwater storage expansion are real, operating projects — not future commitments.</w:t>
            </w:r>
          </w:p>
          <w:p w14:paraId="0C2DB52A" w14:textId="77777777" w:rsidR="00B75213" w:rsidRDefault="00B75213">
            <w:pPr>
              <w:spacing w:before="50"/>
            </w:pPr>
          </w:p>
          <w:p w14:paraId="508BC9A0" w14:textId="77777777" w:rsidR="00B75213" w:rsidRDefault="00000000">
            <w:pPr>
              <w:spacing w:before="50"/>
            </w:pPr>
            <w:r>
              <w:rPr>
                <w:b/>
                <w:bCs/>
                <w:color w:val="0D1B2A"/>
              </w:rPr>
              <w:t>Long-Term Commitment</w:t>
            </w:r>
          </w:p>
          <w:p w14:paraId="1DC2CFE6" w14:textId="136BFD63" w:rsidR="00B75213" w:rsidRDefault="00000000">
            <w:pPr>
              <w:spacing w:before="50"/>
            </w:pPr>
            <w:r>
              <w:rPr>
                <w:color w:val="222222"/>
              </w:rPr>
              <w:t xml:space="preserve">The land sale has closed. Amazon does not </w:t>
            </w:r>
            <w:r w:rsidR="00960032">
              <w:rPr>
                <w:color w:val="222222"/>
              </w:rPr>
              <w:t>exi</w:t>
            </w:r>
            <w:r w:rsidR="00CF470F">
              <w:rPr>
                <w:color w:val="222222"/>
              </w:rPr>
              <w:t>t</w:t>
            </w:r>
            <w:r>
              <w:rPr>
                <w:color w:val="222222"/>
              </w:rPr>
              <w:t xml:space="preserve"> operational data center campuses. This is a 25-year economic relationship, not a short-term lease.</w:t>
            </w:r>
          </w:p>
        </w:tc>
      </w:tr>
    </w:tbl>
    <w:p w14:paraId="2200350A" w14:textId="77777777" w:rsidR="00B75213" w:rsidRDefault="00B75213">
      <w:pPr>
        <w:spacing w:after="80"/>
      </w:pPr>
    </w:p>
    <w:p w14:paraId="7CFF87E3" w14:textId="77777777" w:rsidR="00B75213" w:rsidRDefault="00000000">
      <w:pPr>
        <w:pBdr>
          <w:bottom w:val="single" w:sz="6" w:space="1" w:color="C8952A"/>
        </w:pBdr>
        <w:spacing w:before="260" w:after="80"/>
      </w:pPr>
      <w:r>
        <w:rPr>
          <w:b/>
          <w:bCs/>
          <w:color w:val="0D1B2A"/>
          <w:sz w:val="22"/>
          <w:szCs w:val="22"/>
        </w:rPr>
        <w:t>AMAZON'S PROVEN WATER TRACK RECORD IN THE PACIFIC NORTHWEST</w:t>
      </w:r>
    </w:p>
    <w:p w14:paraId="720D05B3" w14:textId="77777777" w:rsidR="00B75213" w:rsidRDefault="00000000">
      <w:pPr>
        <w:pStyle w:val="ListParagraph"/>
        <w:numPr>
          <w:ilvl w:val="0"/>
          <w:numId w:val="2"/>
        </w:numPr>
        <w:spacing w:before="50" w:after="50"/>
      </w:pPr>
      <w:r>
        <w:rPr>
          <w:color w:val="222222"/>
        </w:rPr>
        <w:t>Umatilla, OR: Amazon's 7-mile pipeline provides cooling water to 10,400 farmland acres at no charge to local farmers</w:t>
      </w:r>
    </w:p>
    <w:p w14:paraId="78A09624" w14:textId="77777777" w:rsidR="00B75213" w:rsidRDefault="00000000">
      <w:pPr>
        <w:pStyle w:val="ListParagraph"/>
        <w:numPr>
          <w:ilvl w:val="0"/>
          <w:numId w:val="2"/>
        </w:numPr>
        <w:spacing w:before="50" w:after="50"/>
      </w:pPr>
      <w:r>
        <w:rPr>
          <w:color w:val="222222"/>
        </w:rPr>
        <w:t>Hermiston, OR: Amazon-funded groundwater storage expands summer water availability for all users by 100 million gallons per year</w:t>
      </w:r>
    </w:p>
    <w:p w14:paraId="43ACD57E" w14:textId="77777777" w:rsidR="00B75213" w:rsidRDefault="00000000">
      <w:pPr>
        <w:pStyle w:val="ListParagraph"/>
        <w:numPr>
          <w:ilvl w:val="0"/>
          <w:numId w:val="2"/>
        </w:numPr>
        <w:spacing w:before="50" w:after="50"/>
      </w:pPr>
      <w:r>
        <w:rPr>
          <w:color w:val="222222"/>
        </w:rPr>
        <w:t>AWS Water Efficiency (2024): 0.15 L/kWh — 58% better than the cloud industry average (Amazon 2024 Sustainability Report)</w:t>
      </w:r>
    </w:p>
    <w:p w14:paraId="58872AB3" w14:textId="77777777" w:rsidR="00B75213" w:rsidRDefault="00000000">
      <w:pPr>
        <w:pStyle w:val="ListParagraph"/>
        <w:numPr>
          <w:ilvl w:val="0"/>
          <w:numId w:val="2"/>
        </w:numPr>
        <w:spacing w:before="50" w:after="50"/>
      </w:pPr>
      <w:r>
        <w:rPr>
          <w:color w:val="222222"/>
        </w:rPr>
        <w:t>No construction begins until a formal water use agreement is negotiated and in place</w:t>
      </w:r>
    </w:p>
    <w:p w14:paraId="547DEC65" w14:textId="77777777" w:rsidR="00B75213" w:rsidRDefault="00B75213">
      <w:pPr>
        <w:spacing w:after="80"/>
      </w:pPr>
    </w:p>
    <w:p w14:paraId="44FE1415" w14:textId="77777777" w:rsidR="00B75213" w:rsidRDefault="00B75213">
      <w:pPr>
        <w:spacing w:after="80"/>
      </w:pPr>
    </w:p>
    <w:p w14:paraId="625536E1" w14:textId="77777777" w:rsidR="00B75213" w:rsidRDefault="00000000">
      <w:pPr>
        <w:pBdr>
          <w:bottom w:val="single" w:sz="6" w:space="1" w:color="C8952A"/>
        </w:pBdr>
        <w:spacing w:before="260" w:after="80"/>
      </w:pPr>
      <w:r>
        <w:rPr>
          <w:b/>
          <w:bCs/>
          <w:color w:val="0D1B2A"/>
          <w:sz w:val="22"/>
          <w:szCs w:val="22"/>
        </w:rPr>
        <w:t>SAFEGUARDS ALREADY IN PLACE</w:t>
      </w:r>
    </w:p>
    <w:p w14:paraId="1F510C8D" w14:textId="2E8C044F" w:rsidR="00960032" w:rsidRPr="00960032" w:rsidRDefault="00960032">
      <w:pPr>
        <w:pStyle w:val="ListParagraph"/>
        <w:numPr>
          <w:ilvl w:val="0"/>
          <w:numId w:val="2"/>
        </w:numPr>
        <w:spacing w:before="50" w:after="50"/>
      </w:pPr>
      <w:r>
        <w:t>We are the most heavily regulated state in the nation, and the SEPA review will be conducted by the State who has experience in large-scale projects like Boeing, Microsoft, etc.</w:t>
      </w:r>
    </w:p>
    <w:p w14:paraId="7A2739FD" w14:textId="23AC2D42" w:rsidR="00B75213" w:rsidRPr="00960032" w:rsidRDefault="00000000">
      <w:pPr>
        <w:pStyle w:val="ListParagraph"/>
        <w:numPr>
          <w:ilvl w:val="0"/>
          <w:numId w:val="2"/>
        </w:numPr>
        <w:spacing w:before="50" w:after="50"/>
      </w:pPr>
      <w:r>
        <w:rPr>
          <w:color w:val="222222"/>
        </w:rPr>
        <w:t>No construction can begin until a full SEPA review is complete — including public comment, agency review, and wildlife impact evaluation</w:t>
      </w:r>
    </w:p>
    <w:p w14:paraId="0D1743B4" w14:textId="78AF17CE" w:rsidR="00960032" w:rsidRDefault="00960032" w:rsidP="00960032">
      <w:pPr>
        <w:pStyle w:val="ListParagraph"/>
        <w:numPr>
          <w:ilvl w:val="0"/>
          <w:numId w:val="2"/>
        </w:numPr>
        <w:spacing w:before="50" w:after="50"/>
      </w:pPr>
      <w:r>
        <w:rPr>
          <w:color w:val="222222"/>
        </w:rPr>
        <w:t>The SEPA review is the next step, which is essentially the moratorium to make sure all on the same page prior to permits being issued</w:t>
      </w:r>
    </w:p>
    <w:p w14:paraId="42920CB5" w14:textId="70D24D9D" w:rsidR="00B75213" w:rsidRPr="00960032" w:rsidRDefault="00000000" w:rsidP="00960032">
      <w:pPr>
        <w:pStyle w:val="ListParagraph"/>
        <w:numPr>
          <w:ilvl w:val="0"/>
          <w:numId w:val="2"/>
        </w:numPr>
        <w:spacing w:before="50" w:after="50"/>
      </w:pPr>
      <w:r>
        <w:rPr>
          <w:color w:val="222222"/>
        </w:rPr>
        <w:t>Th</w:t>
      </w:r>
      <w:r w:rsidR="00960032">
        <w:rPr>
          <w:color w:val="222222"/>
        </w:rPr>
        <w:t xml:space="preserve">e facts do not support the fear being spread out there at this time. I’ve been able to find NO facts supporting this project adversely affecting our Water, Energy costs, environment, or rural way of life. In fact, the current facts </w:t>
      </w:r>
      <w:r w:rsidR="00080BC1">
        <w:rPr>
          <w:color w:val="222222"/>
        </w:rPr>
        <w:t>support the idea</w:t>
      </w:r>
      <w:r w:rsidR="00960032">
        <w:rPr>
          <w:color w:val="222222"/>
        </w:rPr>
        <w:t xml:space="preserve"> that it will potentially enhance most, if not all, of those.</w:t>
      </w:r>
    </w:p>
    <w:p w14:paraId="43F6C45E" w14:textId="77777777" w:rsidR="00960032" w:rsidRDefault="00960032" w:rsidP="00960032">
      <w:pPr>
        <w:spacing w:before="50" w:after="5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75213" w14:paraId="778D6CC8" w14:textId="77777777">
        <w:tc>
          <w:tcPr>
            <w:tcW w:w="9360" w:type="dxa"/>
            <w:tcBorders>
              <w:top w:val="none" w:sz="0" w:space="0" w:color="FFFFFF"/>
              <w:left w:val="none" w:sz="0" w:space="0" w:color="FFFFFF"/>
              <w:bottom w:val="none" w:sz="0" w:space="0" w:color="FFFFFF"/>
              <w:right w:val="none" w:sz="0" w:space="0" w:color="FFFFFF"/>
            </w:tcBorders>
            <w:shd w:val="clear" w:color="auto" w:fill="0D1B2A"/>
            <w:tcMar>
              <w:top w:w="180" w:type="dxa"/>
              <w:left w:w="240" w:type="dxa"/>
              <w:bottom w:w="180" w:type="dxa"/>
              <w:right w:w="240" w:type="dxa"/>
            </w:tcMar>
          </w:tcPr>
          <w:p w14:paraId="77FE5537" w14:textId="77777777" w:rsidR="00B75213" w:rsidRDefault="00000000">
            <w:pPr>
              <w:jc w:val="center"/>
            </w:pPr>
            <w:r>
              <w:rPr>
                <w:b/>
                <w:bCs/>
                <w:color w:val="FFFFFF"/>
                <w:sz w:val="26"/>
                <w:szCs w:val="26"/>
              </w:rPr>
              <w:t>Troy Woody — Walla Walla County Commissioner, District 3</w:t>
            </w:r>
          </w:p>
          <w:p w14:paraId="73181A89" w14:textId="77777777" w:rsidR="00B75213" w:rsidRDefault="00000000">
            <w:pPr>
              <w:spacing w:before="80"/>
              <w:jc w:val="center"/>
            </w:pPr>
            <w:r>
              <w:rPr>
                <w:color w:val="C8952A"/>
              </w:rPr>
              <w:t>County government should make decisions based on facts, not fear. Walla Walla County deserves leadership that fights for real economic results.</w:t>
            </w:r>
          </w:p>
          <w:p w14:paraId="7EBEE7D6" w14:textId="77777777" w:rsidR="00B75213" w:rsidRDefault="00000000">
            <w:pPr>
              <w:spacing w:before="100"/>
              <w:jc w:val="center"/>
            </w:pPr>
            <w:proofErr w:type="gramStart"/>
            <w:r>
              <w:rPr>
                <w:color w:val="FFFFFF"/>
              </w:rPr>
              <w:t>woodyforwallawalla.com  |</w:t>
            </w:r>
            <w:proofErr w:type="gramEnd"/>
            <w:r>
              <w:rPr>
                <w:color w:val="FFFFFF"/>
              </w:rPr>
              <w:t xml:space="preserve">  509-708-</w:t>
            </w:r>
            <w:proofErr w:type="gramStart"/>
            <w:r>
              <w:rPr>
                <w:color w:val="FFFFFF"/>
              </w:rPr>
              <w:t>2265  |</w:t>
            </w:r>
            <w:proofErr w:type="gramEnd"/>
            <w:r>
              <w:rPr>
                <w:color w:val="FFFFFF"/>
              </w:rPr>
              <w:t xml:space="preserve">  woodyforwallawalla@gmail.com</w:t>
            </w:r>
          </w:p>
          <w:p w14:paraId="7CD0F67F" w14:textId="77777777" w:rsidR="00B75213" w:rsidRDefault="00000000">
            <w:pPr>
              <w:spacing w:before="60"/>
              <w:jc w:val="center"/>
            </w:pPr>
            <w:r>
              <w:rPr>
                <w:b/>
                <w:bCs/>
                <w:color w:val="C8952A"/>
                <w:sz w:val="22"/>
                <w:szCs w:val="22"/>
              </w:rPr>
              <w:t>Primary Election: August 4, 2026</w:t>
            </w:r>
          </w:p>
        </w:tc>
      </w:tr>
    </w:tbl>
    <w:p w14:paraId="07931E3C" w14:textId="77777777" w:rsidR="00884C17" w:rsidRDefault="00884C17"/>
    <w:sectPr w:rsidR="00884C17">
      <w:footerReference w:type="default" r:id="rId7"/>
      <w:pgSz w:w="12240" w:h="15840"/>
      <w:pgMar w:top="720" w:right="1080" w:bottom="72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7CAAF" w14:textId="77777777" w:rsidR="004742CA" w:rsidRDefault="004742CA">
      <w:r>
        <w:separator/>
      </w:r>
    </w:p>
  </w:endnote>
  <w:endnote w:type="continuationSeparator" w:id="0">
    <w:p w14:paraId="41E5F4EC" w14:textId="77777777" w:rsidR="004742CA" w:rsidRDefault="0047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5982" w14:textId="77777777" w:rsidR="00B75213" w:rsidRDefault="00000000">
    <w:pPr>
      <w:pBdr>
        <w:top w:val="single" w:sz="4" w:space="4" w:color="C8952A"/>
      </w:pBdr>
      <w:jc w:val="center"/>
    </w:pPr>
    <w:r>
      <w:rPr>
        <w:color w:val="555555"/>
        <w:sz w:val="16"/>
        <w:szCs w:val="16"/>
      </w:rPr>
      <w:t xml:space="preserve">Woody for Walla </w:t>
    </w:r>
    <w:proofErr w:type="gramStart"/>
    <w:r>
      <w:rPr>
        <w:color w:val="555555"/>
        <w:sz w:val="16"/>
        <w:szCs w:val="16"/>
      </w:rPr>
      <w:t>Walla  |</w:t>
    </w:r>
    <w:proofErr w:type="gramEnd"/>
    <w:r>
      <w:rPr>
        <w:color w:val="555555"/>
        <w:sz w:val="16"/>
        <w:szCs w:val="16"/>
      </w:rPr>
      <w:t xml:space="preserve">  </w:t>
    </w:r>
    <w:proofErr w:type="gramStart"/>
    <w:r>
      <w:rPr>
        <w:color w:val="555555"/>
        <w:sz w:val="16"/>
        <w:szCs w:val="16"/>
      </w:rPr>
      <w:t>woodyforwallawalla.com  |</w:t>
    </w:r>
    <w:proofErr w:type="gramEnd"/>
    <w:r>
      <w:rPr>
        <w:color w:val="555555"/>
        <w:sz w:val="16"/>
        <w:szCs w:val="16"/>
      </w:rPr>
      <w:t xml:space="preserve">  509-708-</w:t>
    </w:r>
    <w:proofErr w:type="gramStart"/>
    <w:r>
      <w:rPr>
        <w:color w:val="555555"/>
        <w:sz w:val="16"/>
        <w:szCs w:val="16"/>
      </w:rPr>
      <w:t>2265  |</w:t>
    </w:r>
    <w:proofErr w:type="gramEnd"/>
    <w:r>
      <w:rPr>
        <w:color w:val="555555"/>
        <w:sz w:val="16"/>
        <w:szCs w:val="16"/>
      </w:rPr>
      <w:t xml:space="preserve">  Less Government. More Freedom. Real Results.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7ABBA" w14:textId="77777777" w:rsidR="004742CA" w:rsidRDefault="004742CA">
      <w:r>
        <w:separator/>
      </w:r>
    </w:p>
  </w:footnote>
  <w:footnote w:type="continuationSeparator" w:id="0">
    <w:p w14:paraId="54633EE3" w14:textId="77777777" w:rsidR="004742CA" w:rsidRDefault="00474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639"/>
    <w:multiLevelType w:val="hybridMultilevel"/>
    <w:tmpl w:val="2EFE2ACA"/>
    <w:lvl w:ilvl="0" w:tplc="FEBC08D0">
      <w:start w:val="1"/>
      <w:numFmt w:val="bullet"/>
      <w:lvlText w:val="●"/>
      <w:lvlJc w:val="left"/>
      <w:pPr>
        <w:ind w:left="720" w:hanging="360"/>
      </w:pPr>
    </w:lvl>
    <w:lvl w:ilvl="1" w:tplc="8780A65C">
      <w:start w:val="1"/>
      <w:numFmt w:val="bullet"/>
      <w:lvlText w:val="○"/>
      <w:lvlJc w:val="left"/>
      <w:pPr>
        <w:ind w:left="1440" w:hanging="360"/>
      </w:pPr>
    </w:lvl>
    <w:lvl w:ilvl="2" w:tplc="CA6AE816">
      <w:start w:val="1"/>
      <w:numFmt w:val="bullet"/>
      <w:lvlText w:val="■"/>
      <w:lvlJc w:val="left"/>
      <w:pPr>
        <w:ind w:left="2160" w:hanging="360"/>
      </w:pPr>
    </w:lvl>
    <w:lvl w:ilvl="3" w:tplc="47D4DC22">
      <w:start w:val="1"/>
      <w:numFmt w:val="bullet"/>
      <w:lvlText w:val="●"/>
      <w:lvlJc w:val="left"/>
      <w:pPr>
        <w:ind w:left="2880" w:hanging="360"/>
      </w:pPr>
    </w:lvl>
    <w:lvl w:ilvl="4" w:tplc="83467A16">
      <w:start w:val="1"/>
      <w:numFmt w:val="bullet"/>
      <w:lvlText w:val="○"/>
      <w:lvlJc w:val="left"/>
      <w:pPr>
        <w:ind w:left="3600" w:hanging="360"/>
      </w:pPr>
    </w:lvl>
    <w:lvl w:ilvl="5" w:tplc="0736F1FC">
      <w:start w:val="1"/>
      <w:numFmt w:val="bullet"/>
      <w:lvlText w:val="■"/>
      <w:lvlJc w:val="left"/>
      <w:pPr>
        <w:ind w:left="4320" w:hanging="360"/>
      </w:pPr>
    </w:lvl>
    <w:lvl w:ilvl="6" w:tplc="F856C5E6">
      <w:start w:val="1"/>
      <w:numFmt w:val="bullet"/>
      <w:lvlText w:val="●"/>
      <w:lvlJc w:val="left"/>
      <w:pPr>
        <w:ind w:left="5040" w:hanging="360"/>
      </w:pPr>
    </w:lvl>
    <w:lvl w:ilvl="7" w:tplc="8878CBB0">
      <w:start w:val="1"/>
      <w:numFmt w:val="bullet"/>
      <w:lvlText w:val="●"/>
      <w:lvlJc w:val="left"/>
      <w:pPr>
        <w:ind w:left="5760" w:hanging="360"/>
      </w:pPr>
    </w:lvl>
    <w:lvl w:ilvl="8" w:tplc="B792FBCA">
      <w:start w:val="1"/>
      <w:numFmt w:val="bullet"/>
      <w:lvlText w:val="●"/>
      <w:lvlJc w:val="left"/>
      <w:pPr>
        <w:ind w:left="6480" w:hanging="360"/>
      </w:pPr>
    </w:lvl>
  </w:abstractNum>
  <w:abstractNum w:abstractNumId="1" w15:restartNumberingAfterBreak="0">
    <w:nsid w:val="0F1F4AF5"/>
    <w:multiLevelType w:val="hybridMultilevel"/>
    <w:tmpl w:val="DB8058AA"/>
    <w:lvl w:ilvl="0" w:tplc="E26E3156">
      <w:start w:val="1"/>
      <w:numFmt w:val="bullet"/>
      <w:lvlText w:val="•"/>
      <w:lvlJc w:val="left"/>
      <w:pPr>
        <w:ind w:left="540" w:hanging="360"/>
      </w:pPr>
    </w:lvl>
    <w:lvl w:ilvl="1" w:tplc="105E2CCE">
      <w:numFmt w:val="decimal"/>
      <w:lvlText w:val=""/>
      <w:lvlJc w:val="left"/>
    </w:lvl>
    <w:lvl w:ilvl="2" w:tplc="3FDC27E6">
      <w:numFmt w:val="decimal"/>
      <w:lvlText w:val=""/>
      <w:lvlJc w:val="left"/>
    </w:lvl>
    <w:lvl w:ilvl="3" w:tplc="26EEFC40">
      <w:numFmt w:val="decimal"/>
      <w:lvlText w:val=""/>
      <w:lvlJc w:val="left"/>
    </w:lvl>
    <w:lvl w:ilvl="4" w:tplc="AF20E246">
      <w:numFmt w:val="decimal"/>
      <w:lvlText w:val=""/>
      <w:lvlJc w:val="left"/>
    </w:lvl>
    <w:lvl w:ilvl="5" w:tplc="13CE4CAE">
      <w:numFmt w:val="decimal"/>
      <w:lvlText w:val=""/>
      <w:lvlJc w:val="left"/>
    </w:lvl>
    <w:lvl w:ilvl="6" w:tplc="FFAAE16C">
      <w:numFmt w:val="decimal"/>
      <w:lvlText w:val=""/>
      <w:lvlJc w:val="left"/>
    </w:lvl>
    <w:lvl w:ilvl="7" w:tplc="821E4E94">
      <w:numFmt w:val="decimal"/>
      <w:lvlText w:val=""/>
      <w:lvlJc w:val="left"/>
    </w:lvl>
    <w:lvl w:ilvl="8" w:tplc="0762AD7C">
      <w:numFmt w:val="decimal"/>
      <w:lvlText w:val=""/>
      <w:lvlJc w:val="left"/>
    </w:lvl>
  </w:abstractNum>
  <w:num w:numId="1" w16cid:durableId="234628673">
    <w:abstractNumId w:val="0"/>
    <w:lvlOverride w:ilvl="0">
      <w:startOverride w:val="1"/>
    </w:lvlOverride>
  </w:num>
  <w:num w:numId="2" w16cid:durableId="19185171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13"/>
    <w:rsid w:val="00080BC1"/>
    <w:rsid w:val="00214DEC"/>
    <w:rsid w:val="002F6166"/>
    <w:rsid w:val="004742CA"/>
    <w:rsid w:val="00884C17"/>
    <w:rsid w:val="00960032"/>
    <w:rsid w:val="00B75213"/>
    <w:rsid w:val="00BE1ADF"/>
    <w:rsid w:val="00CF4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D5EE"/>
  <w15:docId w15:val="{DA6CEC24-40E2-4EBB-AC94-9C0261A4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032"/>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Troy Woody</cp:lastModifiedBy>
  <cp:revision>4</cp:revision>
  <cp:lastPrinted>2026-07-20T15:53:00Z</cp:lastPrinted>
  <dcterms:created xsi:type="dcterms:W3CDTF">2026-06-24T15:14:00Z</dcterms:created>
  <dcterms:modified xsi:type="dcterms:W3CDTF">2026-07-20T15:53:00Z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cbc57d2c-eadf-4547-ad20-343a4873ae2f</vt:lpwstr>
  </property>
</Properties>
</file>